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EA" w:rsidRPr="00024292" w:rsidRDefault="002455EA" w:rsidP="00245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80"/>
          <w:sz w:val="24"/>
          <w:szCs w:val="24"/>
        </w:rPr>
      </w:pPr>
    </w:p>
    <w:p w:rsidR="002455EA" w:rsidRPr="00024292" w:rsidRDefault="002455EA" w:rsidP="00245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80"/>
          <w:sz w:val="24"/>
          <w:szCs w:val="24"/>
        </w:rPr>
      </w:pPr>
    </w:p>
    <w:p w:rsidR="002455EA" w:rsidRPr="00024292" w:rsidRDefault="002455EA" w:rsidP="00245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80"/>
          <w:sz w:val="24"/>
          <w:szCs w:val="24"/>
        </w:rPr>
      </w:pPr>
    </w:p>
    <w:p w:rsidR="002455EA" w:rsidRPr="00024292" w:rsidRDefault="002455EA" w:rsidP="002455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2429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81355" cy="897255"/>
            <wp:effectExtent l="19050" t="0" r="4445" b="0"/>
            <wp:docPr id="6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br w:type="textWrapping" w:clear="all"/>
        <w:t>Администрация поселка Суломай</w:t>
      </w:r>
    </w:p>
    <w:p w:rsidR="002455EA" w:rsidRPr="00024292" w:rsidRDefault="002455EA" w:rsidP="002455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24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Эвенкийский муниципальный район</w:t>
      </w:r>
    </w:p>
    <w:p w:rsidR="002455EA" w:rsidRPr="00024292" w:rsidRDefault="002455EA" w:rsidP="002455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24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Красноярский край</w:t>
      </w:r>
    </w:p>
    <w:p w:rsidR="002455EA" w:rsidRPr="00024292" w:rsidRDefault="00944016" w:rsidP="002455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w w:val="80"/>
          <w:position w:val="4"/>
          <w:sz w:val="28"/>
          <w:szCs w:val="28"/>
          <w:lang w:eastAsia="en-US"/>
        </w:rPr>
      </w:pPr>
      <w:r w:rsidRPr="00944016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pict>
          <v:line id="_x0000_s2057" style="position:absolute;left:0;text-align:left;z-index:251663360" from="30.75pt,12.2pt" to="462.75pt,12.2pt" strokeweight="3pt">
            <v:stroke linestyle="thinThin"/>
            <w10:wrap type="topAndBottom"/>
          </v:line>
        </w:pict>
      </w:r>
      <w:r w:rsidR="002455EA" w:rsidRPr="00024292">
        <w:rPr>
          <w:rFonts w:ascii="Times New Roman" w:eastAsia="Calibri" w:hAnsi="Times New Roman" w:cs="Times New Roman"/>
          <w:b/>
          <w:color w:val="000000" w:themeColor="text1"/>
          <w:w w:val="80"/>
          <w:position w:val="4"/>
          <w:sz w:val="28"/>
          <w:szCs w:val="28"/>
          <w:lang w:eastAsia="en-US"/>
        </w:rPr>
        <w:t>ПОСТАНОВЛЕНИЕ</w:t>
      </w:r>
    </w:p>
    <w:p w:rsidR="002455EA" w:rsidRPr="00024292" w:rsidRDefault="002455EA" w:rsidP="002455E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6606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</w:t>
      </w:r>
      <w:r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ноября 20</w:t>
      </w:r>
      <w:r w:rsidR="00194186"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0540D9"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г.                                                       </w:t>
      </w:r>
      <w:r w:rsidR="00871FA3"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</w:t>
      </w:r>
      <w:r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</w:t>
      </w:r>
      <w:r w:rsidR="006606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 </w:t>
      </w:r>
      <w:r w:rsidR="00660608">
        <w:rPr>
          <w:rFonts w:ascii="Times New Roman" w:eastAsia="Times New Roman" w:hAnsi="Times New Roman" w:cs="Times New Roman"/>
          <w:color w:val="000000" w:themeColor="text1"/>
          <w:w w:val="80"/>
          <w:sz w:val="28"/>
          <w:szCs w:val="28"/>
        </w:rPr>
        <w:t>69-п</w:t>
      </w: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прогнозе </w:t>
      </w: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социально-экономического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муниципального образования</w:t>
      </w: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поселка Суломай на 20</w:t>
      </w:r>
      <w:r w:rsidR="00194186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540D9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0540D9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Руководствуясь статьей 173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поселка Суломай</w:t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</w:t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1.</w:t>
      </w:r>
      <w:r w:rsidR="00A93CA7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Одобрить прогноз социально-экономического развития муниципального образования поселка Суломай на 20</w:t>
      </w:r>
      <w:r w:rsidR="00194186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540D9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и плановый 202</w:t>
      </w:r>
      <w:r w:rsidR="000540D9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0540D9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годы, согласно приложению к настоящему постановлению.</w:t>
      </w:r>
    </w:p>
    <w:p w:rsidR="00854A3D" w:rsidRPr="00024292" w:rsidRDefault="00854A3D" w:rsidP="00854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сайте Муниципального образования "поселок Суломай"  в сети «Интернет» (https://sulomaj-r04.gosweb.gosuslugi.ru/).</w:t>
      </w:r>
    </w:p>
    <w:p w:rsidR="00854A3D" w:rsidRPr="00024292" w:rsidRDefault="00854A3D" w:rsidP="00854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района»».</w:t>
      </w:r>
    </w:p>
    <w:p w:rsidR="002455EA" w:rsidRPr="00024292" w:rsidRDefault="00854A3D" w:rsidP="00854A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455EA" w:rsidRPr="00024292" w:rsidRDefault="002455EA" w:rsidP="00245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42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поселка Суломай                                       </w:t>
      </w:r>
      <w:r w:rsidRPr="000242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          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77E0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.А. Тыганов</w:t>
      </w:r>
    </w:p>
    <w:p w:rsidR="002455EA" w:rsidRPr="00024292" w:rsidRDefault="002455EA" w:rsidP="002455EA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 xml:space="preserve"> </w:t>
      </w:r>
    </w:p>
    <w:p w:rsidR="002455EA" w:rsidRPr="00024292" w:rsidRDefault="002455EA" w:rsidP="002455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2455EA" w:rsidRPr="00024292" w:rsidRDefault="002455EA" w:rsidP="00245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Утверждено постановлением </w:t>
      </w:r>
    </w:p>
    <w:p w:rsidR="002455EA" w:rsidRPr="00024292" w:rsidRDefault="002455EA" w:rsidP="00245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п. Суломай</w:t>
      </w:r>
    </w:p>
    <w:p w:rsidR="002455EA" w:rsidRPr="00024292" w:rsidRDefault="002455EA" w:rsidP="00245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от  </w:t>
      </w:r>
      <w:r w:rsidR="00660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11.11.2024 </w:t>
      </w:r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  №</w:t>
      </w:r>
      <w:r w:rsidR="00660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69-п</w:t>
      </w:r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>ПРОГНОЗ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>СОЦИАЛЬНО – ЭКОНОМИЧЕСКОГО РАЗВИТИЯ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 xml:space="preserve">МУНИЦИПАЛЬНОГО ОБРАЗОВАНИЯ 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 xml:space="preserve"> ПОСЕЛКА СУЛОМАЙ 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>ЭВЕНКИЙСКОГО МУНИЦИПАЛЬНОГО РАЙОНА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 xml:space="preserve">КРАСНОЯРСКОГО КРАЯ 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00"/>
          <w:lang w:eastAsia="ar-SA"/>
        </w:rPr>
      </w:pPr>
    </w:p>
    <w:p w:rsidR="002455EA" w:rsidRPr="00024292" w:rsidRDefault="002455EA" w:rsidP="002455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>на 202</w:t>
      </w:r>
      <w:r w:rsidR="000540D9"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>5</w:t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 xml:space="preserve"> год и плановый период 202</w:t>
      </w:r>
      <w:r w:rsidR="000540D9"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>6</w:t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>-202</w:t>
      </w:r>
      <w:r w:rsidR="000540D9"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>7</w:t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ar-SA"/>
        </w:rPr>
        <w:t>гг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20</w:t>
      </w:r>
      <w:r w:rsidR="00194186"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</w:t>
      </w:r>
      <w:r w:rsidR="000540D9"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4</w:t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год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СОДЕРЖАНИЕ</w: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Основание  формирования Прогноза: </w:t>
      </w:r>
    </w:p>
    <w:p w:rsidR="002455EA" w:rsidRPr="00024292" w:rsidRDefault="002455EA" w:rsidP="00245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2455EA" w:rsidRPr="00024292" w:rsidRDefault="002455EA" w:rsidP="002455EA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Бюджетный кодекс РФ </w:t>
      </w:r>
    </w:p>
    <w:p w:rsidR="002455EA" w:rsidRPr="00024292" w:rsidRDefault="002455EA" w:rsidP="002455EA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Федеральный Закон от 06.10.2003 № 131 –ФЗ «Об общих принципах организации местного самоуправления в Российской Федерации»</w:t>
      </w:r>
    </w:p>
    <w:p w:rsidR="002455EA" w:rsidRPr="00024292" w:rsidRDefault="002455EA" w:rsidP="002455EA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 Красноярского края </w:t>
      </w:r>
      <w:r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«О закреплении вопросов местного значения за сельскими поселениями Красноярского края » № 9-3724 от 15.10.2015 года </w:t>
      </w:r>
    </w:p>
    <w:p w:rsidR="002455EA" w:rsidRPr="00024292" w:rsidRDefault="002455EA" w:rsidP="002455EA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Устав Эвенкийского муниципального района</w:t>
      </w:r>
    </w:p>
    <w:p w:rsidR="002455EA" w:rsidRPr="00024292" w:rsidRDefault="002455EA" w:rsidP="002455EA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Устав муниципального образования поселка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Суломай</w:t>
      </w:r>
    </w:p>
    <w:p w:rsidR="002455EA" w:rsidRPr="00024292" w:rsidRDefault="002455EA" w:rsidP="002455EA">
      <w:pPr>
        <w:numPr>
          <w:ilvl w:val="0"/>
          <w:numId w:val="4"/>
        </w:num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Положение о бюджетном процессе поселка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Суломай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2455EA" w:rsidRPr="00024292" w:rsidRDefault="002455EA" w:rsidP="002455EA">
      <w:pPr>
        <w:suppressAutoHyphens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5EA" w:rsidRPr="00024292" w:rsidRDefault="002455EA" w:rsidP="00245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Исполнительный орган формирования Прогноза:</w:t>
      </w:r>
    </w:p>
    <w:p w:rsidR="002455EA" w:rsidRPr="00024292" w:rsidRDefault="002455EA" w:rsidP="00245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5EA" w:rsidRPr="00024292" w:rsidRDefault="002455EA" w:rsidP="002455E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Администрация поселка 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Суломай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2455EA" w:rsidRPr="00024292" w:rsidRDefault="002455EA" w:rsidP="002455EA">
      <w:pPr>
        <w:suppressAutoHyphens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Использование Прогноза:</w:t>
      </w:r>
    </w:p>
    <w:p w:rsidR="002455EA" w:rsidRPr="00024292" w:rsidRDefault="002455EA" w:rsidP="00245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2455EA" w:rsidRPr="00024292" w:rsidRDefault="002455EA" w:rsidP="002455E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принятия решений по вопросам перспектив социально-экономического развития поселка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Суломай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2455EA" w:rsidRPr="00024292" w:rsidRDefault="002455EA" w:rsidP="002455E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формирования программно - целевого планирования поселка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Суломай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2455EA" w:rsidRPr="00024292" w:rsidRDefault="002455EA" w:rsidP="002455E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Для разработки и принятия нормативно-правовых актов местных органов власти в соответствии с их полномочиями</w:t>
      </w:r>
    </w:p>
    <w:p w:rsidR="002455EA" w:rsidRPr="00024292" w:rsidRDefault="002455EA" w:rsidP="002455EA">
      <w:pPr>
        <w:suppressAutoHyphens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5EA" w:rsidRPr="00024292" w:rsidRDefault="002455EA" w:rsidP="002455E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1.Общая характеристика сельского поселения</w:t>
      </w:r>
    </w:p>
    <w:p w:rsidR="002455EA" w:rsidRPr="00024292" w:rsidRDefault="002455EA" w:rsidP="002455EA">
      <w:pPr>
        <w:suppressAutoHyphens/>
        <w:spacing w:after="0" w:line="240" w:lineRule="auto"/>
        <w:ind w:left="28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10250" w:type="dxa"/>
        <w:tblInd w:w="-77" w:type="dxa"/>
        <w:tblLayout w:type="fixed"/>
        <w:tblLook w:val="0000"/>
      </w:tblPr>
      <w:tblGrid>
        <w:gridCol w:w="560"/>
        <w:gridCol w:w="3878"/>
        <w:gridCol w:w="1134"/>
        <w:gridCol w:w="1134"/>
        <w:gridCol w:w="1134"/>
        <w:gridCol w:w="1134"/>
        <w:gridCol w:w="1276"/>
      </w:tblGrid>
      <w:tr w:rsidR="002455EA" w:rsidRPr="00024292" w:rsidTr="00194186">
        <w:trPr>
          <w:trHeight w:val="2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194186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прогноз</w:t>
            </w:r>
          </w:p>
        </w:tc>
      </w:tr>
      <w:tr w:rsidR="002455EA" w:rsidRPr="00024292" w:rsidTr="00194186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</w:tr>
      <w:tr w:rsidR="002455EA" w:rsidRPr="00024292" w:rsidTr="001941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Территория сельского поселения</w:t>
            </w:r>
          </w:p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Площадь сельского поселения (</w:t>
            </w:r>
            <w:proofErr w:type="gramStart"/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га</w:t>
            </w:r>
            <w:proofErr w:type="gramEnd"/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44,49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44,49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44,49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44,49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44,49 га</w:t>
            </w:r>
          </w:p>
        </w:tc>
      </w:tr>
      <w:tr w:rsidR="002455EA" w:rsidRPr="00024292" w:rsidTr="0019418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Общее протяжение освещенных частей улиц, проездов, 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 xml:space="preserve"> набережных и т.п. 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3,9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3,9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3,9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3,9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3,9 км</w:t>
            </w:r>
          </w:p>
        </w:tc>
      </w:tr>
    </w:tbl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7874D2" w:rsidRPr="00024292" w:rsidRDefault="007874D2" w:rsidP="007874D2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2.  Органы местного самоуправления</w:t>
      </w:r>
    </w:p>
    <w:p w:rsidR="007874D2" w:rsidRPr="00024292" w:rsidRDefault="007874D2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66"/>
        <w:tblW w:w="10251" w:type="dxa"/>
        <w:tblLayout w:type="fixed"/>
        <w:tblLook w:val="0000"/>
      </w:tblPr>
      <w:tblGrid>
        <w:gridCol w:w="611"/>
        <w:gridCol w:w="3808"/>
        <w:gridCol w:w="1153"/>
        <w:gridCol w:w="1134"/>
        <w:gridCol w:w="1134"/>
        <w:gridCol w:w="1234"/>
        <w:gridCol w:w="1177"/>
      </w:tblGrid>
      <w:tr w:rsidR="007874D2" w:rsidRPr="00024292" w:rsidTr="007874D2">
        <w:trPr>
          <w:trHeight w:val="45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Состав  лиц,  замещающих выборные муниципальные должности, муниципальные служащие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прогноз</w:t>
            </w:r>
          </w:p>
        </w:tc>
      </w:tr>
      <w:tr w:rsidR="007874D2" w:rsidRPr="00024292" w:rsidTr="007874D2">
        <w:trPr>
          <w:trHeight w:val="64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4D2" w:rsidRPr="00024292" w:rsidRDefault="007874D2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4D2" w:rsidRPr="00024292" w:rsidRDefault="007874D2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4D2" w:rsidRPr="00024292" w:rsidRDefault="007874D2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</w:tr>
      <w:tr w:rsidR="007874D2" w:rsidRPr="00024292" w:rsidTr="007874D2">
        <w:trPr>
          <w:trHeight w:val="2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Исполнительно-распорядительный орган</w:t>
            </w:r>
          </w:p>
        </w:tc>
      </w:tr>
      <w:tr w:rsidR="007874D2" w:rsidRPr="00024292" w:rsidTr="007874D2">
        <w:trPr>
          <w:trHeight w:val="2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Администрация поселка </w:t>
            </w: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Суломай</w:t>
            </w:r>
          </w:p>
        </w:tc>
      </w:tr>
      <w:tr w:rsidR="007874D2" w:rsidRPr="00024292" w:rsidTr="007874D2">
        <w:trPr>
          <w:trHeight w:val="3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Глава поселка Суломай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7874D2" w:rsidRPr="00024292" w:rsidTr="007874D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Заместитель главы поселка Суломай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7874D2" w:rsidRPr="00024292" w:rsidTr="007874D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0F61DB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Ведущий специалист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7874D2" w:rsidRPr="00024292" w:rsidTr="007874D2">
        <w:trPr>
          <w:trHeight w:val="35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Представительный орган местного самоуправления – поселковый Совет депутатов (количество депутатов)</w:t>
            </w:r>
          </w:p>
        </w:tc>
      </w:tr>
      <w:tr w:rsidR="007874D2" w:rsidRPr="00024292" w:rsidTr="007874D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D2" w:rsidRPr="00024292" w:rsidRDefault="007874D2" w:rsidP="007874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7874D2" w:rsidRPr="00024292" w:rsidRDefault="002455EA" w:rsidP="007874D2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 </w:t>
      </w:r>
    </w:p>
    <w:p w:rsidR="002455EA" w:rsidRPr="00024292" w:rsidRDefault="002455EA" w:rsidP="002455EA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3. Демографические показатели</w:t>
      </w: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611"/>
        <w:gridCol w:w="3827"/>
        <w:gridCol w:w="1134"/>
        <w:gridCol w:w="1134"/>
        <w:gridCol w:w="1134"/>
        <w:gridCol w:w="1134"/>
        <w:gridCol w:w="1134"/>
      </w:tblGrid>
      <w:tr w:rsidR="00BF4957" w:rsidRPr="00024292" w:rsidTr="00194186">
        <w:trPr>
          <w:trHeight w:val="25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957" w:rsidRPr="00024292" w:rsidRDefault="00BF4957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4957" w:rsidRPr="00024292" w:rsidRDefault="00BF4957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957" w:rsidRPr="00024292" w:rsidRDefault="00BF4957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F4957" w:rsidRPr="00024292" w:rsidRDefault="00BF4957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4957" w:rsidRPr="00024292" w:rsidRDefault="00BF4957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F4957" w:rsidRPr="00024292" w:rsidRDefault="00BF4957" w:rsidP="001B5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957" w:rsidRPr="00024292" w:rsidRDefault="00BF4957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прогноз</w:t>
            </w:r>
          </w:p>
        </w:tc>
      </w:tr>
      <w:tr w:rsidR="002455EA" w:rsidRPr="00024292" w:rsidTr="00194186">
        <w:trPr>
          <w:trHeight w:val="279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2455EA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</w:tr>
      <w:tr w:rsidR="002455EA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Численность постоянного населения на начало года *(человек)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5EA" w:rsidRPr="00024292" w:rsidRDefault="006A7044" w:rsidP="00854A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854A3D"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854A3D"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B5F44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B5F44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B5F44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234</w:t>
            </w:r>
          </w:p>
        </w:tc>
      </w:tr>
      <w:tr w:rsidR="002455EA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Число родившихся за год человек)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854A3D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2455EA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Число умерших за год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4521F7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6643A1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6643A1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6643A1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2455EA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Естественный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854A3D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6643A1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854A3D"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6643A1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854A3D"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6643A1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854A3D"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/0</w:t>
            </w:r>
          </w:p>
        </w:tc>
      </w:tr>
      <w:tr w:rsidR="002455EA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Миграционный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5EA" w:rsidRPr="00024292" w:rsidRDefault="002455EA" w:rsidP="002455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854A3D" w:rsidP="002455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EA" w:rsidRPr="00024292" w:rsidRDefault="00854A3D" w:rsidP="002455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854A3D" w:rsidP="002455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EA" w:rsidRPr="00024292" w:rsidRDefault="00854A3D" w:rsidP="002455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1/0</w:t>
            </w:r>
          </w:p>
        </w:tc>
      </w:tr>
    </w:tbl>
    <w:p w:rsidR="002455EA" w:rsidRPr="00024292" w:rsidRDefault="002455EA" w:rsidP="002455EA">
      <w:pPr>
        <w:keepNext/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4. Жилищно-коммунальное хозяйство</w:t>
      </w: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611"/>
        <w:gridCol w:w="3841"/>
        <w:gridCol w:w="1139"/>
        <w:gridCol w:w="1115"/>
        <w:gridCol w:w="1134"/>
        <w:gridCol w:w="1134"/>
        <w:gridCol w:w="1134"/>
      </w:tblGrid>
      <w:tr w:rsidR="00BF4957" w:rsidRPr="00024292" w:rsidTr="00194186">
        <w:trPr>
          <w:trHeight w:val="25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957" w:rsidRPr="00024292" w:rsidRDefault="00BF4957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4957" w:rsidRPr="00024292" w:rsidRDefault="00BF4957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F4957" w:rsidRPr="00024292" w:rsidRDefault="00BF4957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F4957" w:rsidRPr="00024292" w:rsidRDefault="00BF4957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BF4957" w:rsidRPr="00024292" w:rsidRDefault="00BF4957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F4957" w:rsidRPr="00024292" w:rsidRDefault="00BF4957" w:rsidP="001B5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957" w:rsidRPr="00024292" w:rsidRDefault="00BF4957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прогноз</w:t>
            </w:r>
          </w:p>
        </w:tc>
      </w:tr>
      <w:tr w:rsidR="002455EA" w:rsidRPr="00024292" w:rsidTr="00194186">
        <w:trPr>
          <w:trHeight w:val="236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5EA" w:rsidRPr="00024292" w:rsidRDefault="00BF4957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BF4957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BF4957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</w:tr>
      <w:tr w:rsidR="006643A1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Общая площадь жилого фонда кв</w:t>
            </w:r>
            <w:proofErr w:type="gramStart"/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13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136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832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136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E027A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3962,4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1368F9" w:rsidP="0013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4082</w:t>
            </w:r>
            <w:r w:rsidR="006E027A"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1368F9" w:rsidP="0013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42</w:t>
            </w:r>
            <w:r w:rsidR="006E027A"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6E027A"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6E027A"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E027A" w:rsidP="0013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136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325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136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6643A1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0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Из них  площадь муниципального жилого фонда (кв.м.)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1368F9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2560,4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1368F9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1368F9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1368F9" w:rsidP="0013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  <w:r w:rsidR="006E027A"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1368F9" w:rsidP="001368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3050,4</w:t>
            </w:r>
          </w:p>
        </w:tc>
      </w:tr>
      <w:tr w:rsidR="006643A1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Источники теплоснабжения (печное отопление) печей  единиц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77</w:t>
            </w:r>
          </w:p>
        </w:tc>
      </w:tr>
      <w:tr w:rsidR="006643A1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Объем дров (м3)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2310</w:t>
            </w:r>
          </w:p>
        </w:tc>
      </w:tr>
      <w:tr w:rsidR="006643A1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Количество дизельных электростанций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6643A1" w:rsidRPr="00024292" w:rsidTr="0019418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245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Их мощность </w:t>
            </w:r>
            <w:proofErr w:type="spellStart"/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квт</w:t>
            </w:r>
            <w:proofErr w:type="gramStart"/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.ч</w:t>
            </w:r>
            <w:proofErr w:type="gramEnd"/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ас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</w:tr>
    </w:tbl>
    <w:p w:rsidR="002455EA" w:rsidRPr="00024292" w:rsidRDefault="00944016" w:rsidP="00876F2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3.6pt;margin-top:9.95pt;width:1.1pt;height:12.6pt;z-index:251660288;mso-position-horizontal-relative:margin;mso-position-vertical-relative:text" stroked="f">
            <v:fill opacity="0" color2="black"/>
            <v:textbox style="mso-next-textbox:#_x0000_s2054" inset="0,0,0,0">
              <w:txbxContent>
                <w:p w:rsidR="00DD7ED5" w:rsidRDefault="00DD7ED5" w:rsidP="002455EA">
                  <w:pPr>
                    <w:pStyle w:val="1TimesNewRoman14pt"/>
                  </w:pPr>
                </w:p>
              </w:txbxContent>
            </v:textbox>
            <w10:wrap type="square" side="largest" anchorx="margin"/>
          </v:shape>
        </w:pict>
      </w: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5. Транспорт и связь</w:t>
      </w:r>
    </w:p>
    <w:tbl>
      <w:tblPr>
        <w:tblpPr w:leftFromText="180" w:rightFromText="180" w:vertAnchor="text" w:horzAnchor="margin" w:tblpY="195"/>
        <w:tblW w:w="10206" w:type="dxa"/>
        <w:tblLayout w:type="fixed"/>
        <w:tblLook w:val="0000"/>
      </w:tblPr>
      <w:tblGrid>
        <w:gridCol w:w="709"/>
        <w:gridCol w:w="3827"/>
        <w:gridCol w:w="1134"/>
        <w:gridCol w:w="1134"/>
        <w:gridCol w:w="1134"/>
        <w:gridCol w:w="1134"/>
        <w:gridCol w:w="1134"/>
      </w:tblGrid>
      <w:tr w:rsidR="00BF4957" w:rsidRPr="00024292" w:rsidTr="00BF4957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957" w:rsidRPr="00024292" w:rsidRDefault="00BF4957" w:rsidP="00BF4957">
            <w:pPr>
              <w:pStyle w:val="1TimesNewRoman14pt"/>
              <w:rPr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4957" w:rsidRPr="00024292" w:rsidRDefault="00BF4957" w:rsidP="00BF4957">
            <w:pPr>
              <w:pStyle w:val="1TimesNewRoman14pt"/>
              <w:rPr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F4957" w:rsidRPr="00024292" w:rsidRDefault="00BF4957" w:rsidP="00BF4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F4957" w:rsidRPr="00024292" w:rsidRDefault="00BF4957" w:rsidP="00BF4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BF4957" w:rsidRPr="00024292" w:rsidRDefault="00BF4957" w:rsidP="00BF4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F4957" w:rsidRPr="00024292" w:rsidRDefault="00BF4957" w:rsidP="00BF49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4957" w:rsidRPr="00024292" w:rsidRDefault="00BF4957" w:rsidP="00BF49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прогноз</w:t>
            </w:r>
          </w:p>
        </w:tc>
      </w:tr>
      <w:tr w:rsidR="00BF4957" w:rsidRPr="00024292" w:rsidTr="00BF4957">
        <w:trPr>
          <w:trHeight w:val="30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957" w:rsidRPr="00024292" w:rsidRDefault="00BF4957" w:rsidP="00BF4957">
            <w:pPr>
              <w:pStyle w:val="1TimesNewRoman14p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4957" w:rsidRPr="00024292" w:rsidRDefault="00BF4957" w:rsidP="00BF4957">
            <w:pPr>
              <w:pStyle w:val="1TimesNewRoman14p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4957" w:rsidRPr="00024292" w:rsidRDefault="00BF4957" w:rsidP="00BF4957">
            <w:pPr>
              <w:pStyle w:val="1TimesNewRoman14p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F4957" w:rsidRPr="00024292" w:rsidRDefault="00BF4957" w:rsidP="00BF4957">
            <w:pPr>
              <w:pStyle w:val="1TimesNewRoman14p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957" w:rsidRPr="00024292" w:rsidRDefault="00BF4957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957" w:rsidRPr="00024292" w:rsidRDefault="00BF4957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957" w:rsidRPr="00024292" w:rsidRDefault="00BF4957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</w:tr>
      <w:tr w:rsidR="006643A1" w:rsidRPr="00024292" w:rsidTr="00BF4957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jc w:val="lef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jc w:val="lef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jc w:val="lef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 xml:space="preserve">   в том числе домашних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Удаленность  сельского поселения от  ближайшего  аэропорта (Байкит, км.)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365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365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365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365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365 км</w:t>
            </w: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протяженность улиц, проездов, набережных   (</w:t>
            </w:r>
            <w:proofErr w:type="gramStart"/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грузовых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</w:t>
            </w: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легковых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jc w:val="lef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 xml:space="preserve">Количество тракторной техники </w:t>
            </w:r>
            <w:r w:rsidRPr="00024292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t>3</w:t>
            </w: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jc w:val="lef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 xml:space="preserve">Собственность  частная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</w:p>
        </w:tc>
      </w:tr>
      <w:tr w:rsidR="006643A1" w:rsidRPr="00024292" w:rsidTr="00BF49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jc w:val="left"/>
              <w:rPr>
                <w:color w:val="000000" w:themeColor="text1"/>
                <w:sz w:val="24"/>
                <w:szCs w:val="24"/>
              </w:rPr>
            </w:pPr>
            <w:r w:rsidRPr="00024292">
              <w:rPr>
                <w:color w:val="000000" w:themeColor="text1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color w:val="000000" w:themeColor="text1"/>
              </w:rPr>
            </w:pPr>
            <w:r w:rsidRPr="00024292">
              <w:rPr>
                <w:color w:val="000000" w:themeColor="text1"/>
              </w:rPr>
              <w:t>3</w:t>
            </w:r>
          </w:p>
        </w:tc>
      </w:tr>
    </w:tbl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6. Социальная сфера</w:t>
      </w: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58"/>
        <w:tblW w:w="10314" w:type="dxa"/>
        <w:tblLayout w:type="fixed"/>
        <w:tblLook w:val="0000"/>
      </w:tblPr>
      <w:tblGrid>
        <w:gridCol w:w="817"/>
        <w:gridCol w:w="3955"/>
        <w:gridCol w:w="1074"/>
        <w:gridCol w:w="1066"/>
        <w:gridCol w:w="1134"/>
        <w:gridCol w:w="1134"/>
        <w:gridCol w:w="1134"/>
      </w:tblGrid>
      <w:tr w:rsidR="00876F2B" w:rsidRPr="00024292" w:rsidTr="002A68AE">
        <w:trPr>
          <w:trHeight w:val="36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6F2B" w:rsidRPr="00024292" w:rsidRDefault="00876F2B" w:rsidP="002A68AE">
            <w:pPr>
              <w:pStyle w:val="1TimesNewRoman14p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6F2B" w:rsidRPr="00024292" w:rsidRDefault="00876F2B" w:rsidP="002A68AE">
            <w:pPr>
              <w:pStyle w:val="1TimesNewRoman14p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76F2B" w:rsidRPr="00024292" w:rsidRDefault="00876F2B" w:rsidP="002A6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876F2B" w:rsidRPr="00024292" w:rsidRDefault="00876F2B" w:rsidP="002A6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876F2B" w:rsidRPr="00024292" w:rsidRDefault="00876F2B" w:rsidP="002A6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876F2B" w:rsidRPr="00024292" w:rsidRDefault="00876F2B" w:rsidP="002A6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6F2B" w:rsidRPr="00024292" w:rsidRDefault="00876F2B" w:rsidP="002A6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прогноз</w:t>
            </w:r>
          </w:p>
        </w:tc>
      </w:tr>
      <w:tr w:rsidR="00BF4957" w:rsidRPr="00024292" w:rsidTr="002A68AE">
        <w:trPr>
          <w:trHeight w:val="45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957" w:rsidRPr="00024292" w:rsidRDefault="00BF4957" w:rsidP="002A68AE">
            <w:pPr>
              <w:pStyle w:val="1TimesNewRoman14p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4957" w:rsidRPr="00024292" w:rsidRDefault="00BF4957" w:rsidP="002A68AE">
            <w:pPr>
              <w:pStyle w:val="1TimesNewRoman14p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F4957" w:rsidRPr="00024292" w:rsidRDefault="00BF4957" w:rsidP="002A68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F4957" w:rsidRPr="00024292" w:rsidRDefault="00BF4957" w:rsidP="002A68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957" w:rsidRPr="00024292" w:rsidRDefault="00876F2B" w:rsidP="00AB3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B3D74" w:rsidRPr="00024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D756A9" w:rsidRPr="00024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957" w:rsidRPr="00024292" w:rsidRDefault="00876F2B" w:rsidP="00AB3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B3D74" w:rsidRPr="00024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D756A9" w:rsidRPr="00024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957" w:rsidRPr="00024292" w:rsidRDefault="00876F2B" w:rsidP="00AB3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B3D74" w:rsidRPr="00024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D756A9" w:rsidRPr="00024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</w:tr>
      <w:tr w:rsidR="00BF4957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957" w:rsidRPr="00024292" w:rsidRDefault="00BF4957" w:rsidP="002A68AE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4957" w:rsidRPr="00024292" w:rsidRDefault="00BF4957" w:rsidP="002A68AE">
            <w:pPr>
              <w:pStyle w:val="1TimesNewRoman14p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4957" w:rsidRPr="00024292" w:rsidRDefault="00BF4957" w:rsidP="002A68AE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F4957" w:rsidRPr="00024292" w:rsidRDefault="00BF4957" w:rsidP="002A68AE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957" w:rsidRPr="00024292" w:rsidRDefault="00BF4957" w:rsidP="002A68AE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57" w:rsidRPr="00024292" w:rsidRDefault="00BF4957" w:rsidP="002A68AE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57" w:rsidRPr="00024292" w:rsidRDefault="00BF4957" w:rsidP="002A68AE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 xml:space="preserve">Число дошкольных образовательных учреждений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</w:t>
            </w: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15</w:t>
            </w: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Число  общеобразовательных учреждений  школа-сад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 xml:space="preserve">Численность </w:t>
            </w:r>
            <w:proofErr w:type="spellStart"/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учащихсяс</w:t>
            </w:r>
            <w:proofErr w:type="spellEnd"/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 xml:space="preserve"> (человек)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</w:rPr>
            </w:pPr>
            <w:r w:rsidRPr="00024292">
              <w:rPr>
                <w:rFonts w:cs="Times New Roman"/>
                <w:color w:val="000000" w:themeColor="text1"/>
              </w:rPr>
              <w:t>15</w:t>
            </w: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b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больничных учреждений – всего (единиц)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 ФАП (фельдшерско-акушерский пункт)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b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Число общедоступных  библиотек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643A1" w:rsidRPr="00024292" w:rsidTr="002A68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Число пользователей  библиотек (человек)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6643A1" w:rsidRPr="00024292" w:rsidTr="002A68AE">
        <w:trPr>
          <w:trHeight w:val="4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3A1" w:rsidRPr="00024292" w:rsidRDefault="006643A1" w:rsidP="006643A1">
            <w:pPr>
              <w:pStyle w:val="1TimesNewRoman14p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cs="Times New Roman"/>
                <w:color w:val="000000" w:themeColor="text1"/>
                <w:sz w:val="24"/>
                <w:szCs w:val="24"/>
              </w:rPr>
              <w:t>Сельский Дом культуры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3A1" w:rsidRPr="00024292" w:rsidRDefault="006643A1" w:rsidP="00664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7. Торговля и общественное питание</w:t>
      </w: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1276"/>
        <w:gridCol w:w="1276"/>
        <w:gridCol w:w="1134"/>
        <w:gridCol w:w="1276"/>
        <w:gridCol w:w="1211"/>
      </w:tblGrid>
      <w:tr w:rsidR="00BD095F" w:rsidRPr="00024292" w:rsidTr="001B55C8">
        <w:trPr>
          <w:trHeight w:val="278"/>
        </w:trPr>
        <w:tc>
          <w:tcPr>
            <w:tcW w:w="675" w:type="dxa"/>
            <w:vMerge w:val="restart"/>
          </w:tcPr>
          <w:p w:rsidR="00BD095F" w:rsidRPr="00024292" w:rsidRDefault="00BD095F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BD095F" w:rsidRPr="00024292" w:rsidRDefault="00BD095F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BD095F" w:rsidRPr="00024292" w:rsidRDefault="00BD095F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D095F" w:rsidRPr="00024292" w:rsidRDefault="00BD095F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D095F" w:rsidRPr="00024292" w:rsidRDefault="00BD095F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D095F" w:rsidRPr="00024292" w:rsidRDefault="00BD095F" w:rsidP="001B55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95F" w:rsidRPr="00024292" w:rsidRDefault="00BD095F" w:rsidP="001B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прогноз</w:t>
            </w:r>
          </w:p>
        </w:tc>
      </w:tr>
      <w:tr w:rsidR="002455EA" w:rsidRPr="00024292" w:rsidTr="00194186">
        <w:trPr>
          <w:trHeight w:val="277"/>
        </w:trPr>
        <w:tc>
          <w:tcPr>
            <w:tcW w:w="675" w:type="dxa"/>
            <w:vMerge/>
          </w:tcPr>
          <w:p w:rsidR="002455EA" w:rsidRPr="00024292" w:rsidRDefault="002455EA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</w:tcPr>
          <w:p w:rsidR="002455EA" w:rsidRPr="00024292" w:rsidRDefault="002455EA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2455EA" w:rsidRPr="00024292" w:rsidRDefault="002455EA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EA" w:rsidRPr="00024292" w:rsidRDefault="00BD095F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5EA" w:rsidRPr="00024292" w:rsidRDefault="00BD095F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211" w:type="dxa"/>
          </w:tcPr>
          <w:p w:rsidR="002455EA" w:rsidRPr="00024292" w:rsidRDefault="00BD095F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</w:tr>
      <w:tr w:rsidR="002455EA" w:rsidRPr="00024292" w:rsidTr="00194186">
        <w:tc>
          <w:tcPr>
            <w:tcW w:w="675" w:type="dxa"/>
          </w:tcPr>
          <w:p w:rsidR="002455EA" w:rsidRPr="00024292" w:rsidRDefault="002455EA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2455EA" w:rsidRPr="00024292" w:rsidRDefault="002455EA" w:rsidP="002455EA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Магазины (единиц)</w:t>
            </w:r>
          </w:p>
        </w:tc>
        <w:tc>
          <w:tcPr>
            <w:tcW w:w="1276" w:type="dxa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455EA" w:rsidRPr="00024292" w:rsidRDefault="006643A1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2455EA" w:rsidRPr="00024292" w:rsidRDefault="006643A1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1" w:type="dxa"/>
            <w:vAlign w:val="center"/>
          </w:tcPr>
          <w:p w:rsidR="002455EA" w:rsidRPr="00024292" w:rsidRDefault="006643A1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2455EA" w:rsidRPr="00024292" w:rsidTr="00194186">
        <w:tc>
          <w:tcPr>
            <w:tcW w:w="675" w:type="dxa"/>
          </w:tcPr>
          <w:p w:rsidR="002455EA" w:rsidRPr="00024292" w:rsidRDefault="002455EA" w:rsidP="002455EA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2455EA" w:rsidRPr="00024292" w:rsidRDefault="002455EA" w:rsidP="002455EA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площадь торгового зала (кв.м.)</w:t>
            </w:r>
          </w:p>
        </w:tc>
        <w:tc>
          <w:tcPr>
            <w:tcW w:w="1276" w:type="dxa"/>
          </w:tcPr>
          <w:p w:rsidR="002455EA" w:rsidRPr="00024292" w:rsidRDefault="002455EA" w:rsidP="00245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</w:tcPr>
          <w:p w:rsidR="002455EA" w:rsidRPr="00024292" w:rsidRDefault="002455EA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</w:tcPr>
          <w:p w:rsidR="002455EA" w:rsidRPr="00024292" w:rsidRDefault="006643A1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</w:tcPr>
          <w:p w:rsidR="002455EA" w:rsidRPr="00024292" w:rsidRDefault="006643A1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11" w:type="dxa"/>
          </w:tcPr>
          <w:p w:rsidR="002455EA" w:rsidRPr="00024292" w:rsidRDefault="006643A1" w:rsidP="002455EA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120</w:t>
            </w:r>
          </w:p>
        </w:tc>
      </w:tr>
    </w:tbl>
    <w:p w:rsidR="00834CCC" w:rsidRPr="00024292" w:rsidRDefault="00834CCC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834CCC" w:rsidRPr="00024292" w:rsidRDefault="00834CCC" w:rsidP="00834CC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8.Рынок труда</w:t>
      </w:r>
    </w:p>
    <w:p w:rsidR="002455EA" w:rsidRPr="00024292" w:rsidRDefault="002455EA" w:rsidP="002455EA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pPr w:leftFromText="181" w:rightFromText="181" w:vertAnchor="text" w:horzAnchor="margin" w:tblpY="13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3783"/>
        <w:gridCol w:w="8"/>
        <w:gridCol w:w="1134"/>
        <w:gridCol w:w="1134"/>
        <w:gridCol w:w="1134"/>
        <w:gridCol w:w="1134"/>
        <w:gridCol w:w="1134"/>
      </w:tblGrid>
      <w:tr w:rsidR="00834CCC" w:rsidRPr="00024292" w:rsidTr="00834CCC">
        <w:trPr>
          <w:trHeight w:val="301"/>
        </w:trPr>
        <w:tc>
          <w:tcPr>
            <w:tcW w:w="745" w:type="dxa"/>
            <w:vMerge w:val="restart"/>
            <w:shd w:val="clear" w:color="auto" w:fill="FFFFFF"/>
          </w:tcPr>
          <w:p w:rsidR="00834CCC" w:rsidRPr="00024292" w:rsidRDefault="00834CCC" w:rsidP="0083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791" w:type="dxa"/>
            <w:gridSpan w:val="2"/>
            <w:vMerge w:val="restart"/>
            <w:shd w:val="clear" w:color="auto" w:fill="FFFFFF"/>
            <w:vAlign w:val="center"/>
          </w:tcPr>
          <w:p w:rsidR="00834CCC" w:rsidRPr="00024292" w:rsidRDefault="00834CCC" w:rsidP="0083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4CCC" w:rsidRPr="00024292" w:rsidRDefault="00834CCC" w:rsidP="0083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834CCC" w:rsidRPr="00024292" w:rsidRDefault="00834CCC" w:rsidP="0083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34CCC" w:rsidRPr="00024292" w:rsidRDefault="00834CCC" w:rsidP="0083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834CCC" w:rsidRPr="00024292" w:rsidRDefault="00834CCC" w:rsidP="00834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834CCC" w:rsidRPr="00024292" w:rsidRDefault="00834CCC" w:rsidP="0083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прогноз</w:t>
            </w:r>
          </w:p>
        </w:tc>
      </w:tr>
      <w:tr w:rsidR="00834CCC" w:rsidRPr="00024292" w:rsidTr="00834CCC">
        <w:trPr>
          <w:trHeight w:val="236"/>
        </w:trPr>
        <w:tc>
          <w:tcPr>
            <w:tcW w:w="745" w:type="dxa"/>
            <w:vMerge/>
            <w:shd w:val="clear" w:color="auto" w:fill="FFFFFF"/>
          </w:tcPr>
          <w:p w:rsidR="00834CCC" w:rsidRPr="00024292" w:rsidRDefault="00834CCC" w:rsidP="0083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791" w:type="dxa"/>
            <w:gridSpan w:val="2"/>
            <w:vMerge/>
            <w:shd w:val="clear" w:color="auto" w:fill="FFFFFF"/>
            <w:vAlign w:val="center"/>
          </w:tcPr>
          <w:p w:rsidR="00834CCC" w:rsidRPr="00024292" w:rsidRDefault="00834CCC" w:rsidP="0083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34CCC" w:rsidRPr="00024292" w:rsidRDefault="00834CCC" w:rsidP="00834CCC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34CCC" w:rsidRPr="00024292" w:rsidRDefault="00834CCC" w:rsidP="0083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834CCC" w:rsidRPr="00024292" w:rsidRDefault="00834CCC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shd w:val="clear" w:color="auto" w:fill="FFFFFF"/>
          </w:tcPr>
          <w:p w:rsidR="00834CCC" w:rsidRPr="00024292" w:rsidRDefault="00834CCC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shd w:val="clear" w:color="auto" w:fill="FFFFFF"/>
          </w:tcPr>
          <w:p w:rsidR="00834CCC" w:rsidRPr="00024292" w:rsidRDefault="00834CCC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D756A9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</w:tr>
      <w:tr w:rsidR="006643A1" w:rsidRPr="00024292" w:rsidTr="00A20FB5">
        <w:trPr>
          <w:trHeight w:val="761"/>
        </w:trPr>
        <w:tc>
          <w:tcPr>
            <w:tcW w:w="745" w:type="dxa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643A1" w:rsidRPr="00024292" w:rsidTr="00A20FB5">
        <w:trPr>
          <w:trHeight w:val="255"/>
        </w:trPr>
        <w:tc>
          <w:tcPr>
            <w:tcW w:w="745" w:type="dxa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Количество </w:t>
            </w:r>
            <w:proofErr w:type="gramStart"/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работающих</w:t>
            </w:r>
            <w:proofErr w:type="gramEnd"/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6643A1" w:rsidRPr="00024292" w:rsidTr="00A20FB5">
        <w:trPr>
          <w:trHeight w:val="500"/>
        </w:trPr>
        <w:tc>
          <w:tcPr>
            <w:tcW w:w="745" w:type="dxa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Число фермерских хозяйств* и родовых общин (единиц)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643A1" w:rsidRPr="00024292" w:rsidTr="00A20FB5">
        <w:trPr>
          <w:trHeight w:val="1022"/>
        </w:trPr>
        <w:tc>
          <w:tcPr>
            <w:tcW w:w="745" w:type="dxa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Число индивидуальных предпринимателей  осуществляющих свою деятельность  на территории 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поселения (единиц)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643A1" w:rsidRPr="00024292" w:rsidTr="00A20FB5">
        <w:trPr>
          <w:trHeight w:val="500"/>
        </w:trPr>
        <w:tc>
          <w:tcPr>
            <w:tcW w:w="745" w:type="dxa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2.3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Число личных подсобных хозяйств* (единиц)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643A1" w:rsidRPr="00024292" w:rsidTr="00A20FB5">
        <w:trPr>
          <w:trHeight w:val="740"/>
        </w:trPr>
        <w:tc>
          <w:tcPr>
            <w:tcW w:w="745" w:type="dxa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643A1" w:rsidRPr="00024292" w:rsidTr="00A20FB5">
        <w:trPr>
          <w:trHeight w:val="500"/>
        </w:trPr>
        <w:tc>
          <w:tcPr>
            <w:tcW w:w="745" w:type="dxa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Общая численность безработных (человек)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6643A1" w:rsidRPr="00024292" w:rsidTr="00A20FB5">
        <w:trPr>
          <w:trHeight w:val="522"/>
        </w:trPr>
        <w:tc>
          <w:tcPr>
            <w:tcW w:w="745" w:type="dxa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3783" w:type="dxa"/>
            <w:shd w:val="clear" w:color="auto" w:fill="auto"/>
          </w:tcPr>
          <w:p w:rsidR="006643A1" w:rsidRPr="00024292" w:rsidRDefault="006643A1" w:rsidP="006643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том числе численность зарегистрированных безработных (человек)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3A1" w:rsidRPr="00024292" w:rsidRDefault="006643A1" w:rsidP="00A20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2455EA" w:rsidRPr="00024292" w:rsidRDefault="002455EA" w:rsidP="002455EA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Раздел 9. Местный бюджет</w:t>
      </w:r>
    </w:p>
    <w:p w:rsidR="002455EA" w:rsidRPr="00024292" w:rsidRDefault="002455EA" w:rsidP="002455EA">
      <w:pPr>
        <w:keepNext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 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тыс</w:t>
      </w:r>
      <w:proofErr w:type="spellEnd"/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.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рублей)</w:t>
      </w:r>
    </w:p>
    <w:tbl>
      <w:tblPr>
        <w:tblpPr w:leftFromText="181" w:rightFromText="181" w:vertAnchor="text" w:tblpY="1"/>
        <w:tblOverlap w:val="never"/>
        <w:tblW w:w="10207" w:type="dxa"/>
        <w:tblLayout w:type="fixed"/>
        <w:tblLook w:val="0000"/>
      </w:tblPr>
      <w:tblGrid>
        <w:gridCol w:w="710"/>
        <w:gridCol w:w="3827"/>
        <w:gridCol w:w="1134"/>
        <w:gridCol w:w="1134"/>
        <w:gridCol w:w="1134"/>
        <w:gridCol w:w="1134"/>
        <w:gridCol w:w="1134"/>
      </w:tblGrid>
      <w:tr w:rsidR="00BD095F" w:rsidRPr="00024292" w:rsidTr="00852DD9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095F" w:rsidRPr="00024292" w:rsidRDefault="00BD095F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095F" w:rsidRPr="00024292" w:rsidRDefault="00BD095F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095F" w:rsidRPr="00024292" w:rsidRDefault="00BD095F" w:rsidP="00852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267537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D7ED5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D095F" w:rsidRPr="00024292" w:rsidRDefault="00BD095F" w:rsidP="00852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BD095F" w:rsidRPr="00024292" w:rsidRDefault="00BD095F" w:rsidP="00852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DD7ED5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  <w:p w:rsidR="00BD095F" w:rsidRPr="00024292" w:rsidRDefault="00BD095F" w:rsidP="00852D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95F" w:rsidRPr="00024292" w:rsidRDefault="00BD095F" w:rsidP="00852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прогноз</w:t>
            </w:r>
          </w:p>
        </w:tc>
      </w:tr>
      <w:tr w:rsidR="002455EA" w:rsidRPr="00024292" w:rsidTr="00852DD9">
        <w:trPr>
          <w:trHeight w:val="30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5EA" w:rsidRPr="00024292" w:rsidRDefault="002455EA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455EA" w:rsidRPr="00024292" w:rsidRDefault="002455EA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455EA" w:rsidRPr="00024292" w:rsidRDefault="002455EA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455EA" w:rsidRPr="00024292" w:rsidRDefault="002455EA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5EA" w:rsidRPr="00024292" w:rsidRDefault="00BD095F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D7ED5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BD095F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DD7ED5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EA" w:rsidRPr="00024292" w:rsidRDefault="00BD095F" w:rsidP="00AB3D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202</w:t>
            </w:r>
            <w:r w:rsidR="00AB3D74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DD7ED5"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</w:t>
            </w:r>
          </w:p>
        </w:tc>
      </w:tr>
      <w:tr w:rsidR="008126C2" w:rsidRPr="00024292" w:rsidTr="008126C2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26C2" w:rsidRPr="00024292" w:rsidRDefault="008126C2" w:rsidP="00852DD9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Доходы 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26C2" w:rsidRPr="00024292" w:rsidRDefault="008126C2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22258,9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E54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23</w:t>
            </w:r>
            <w:r w:rsidR="00E54C8B"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081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24 000,7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24 005,7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24 048,8</w:t>
            </w:r>
          </w:p>
        </w:tc>
      </w:tr>
      <w:tr w:rsidR="008126C2" w:rsidRPr="00024292" w:rsidTr="008126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26C2" w:rsidRPr="00024292" w:rsidRDefault="008126C2" w:rsidP="00852DD9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proofErr w:type="gramStart"/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Доходы</w:t>
            </w:r>
            <w:proofErr w:type="gramEnd"/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полученные 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26C2" w:rsidRPr="00024292" w:rsidRDefault="008126C2" w:rsidP="00A97CA4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22107,6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26C2" w:rsidRPr="00024292" w:rsidRDefault="00E54C8B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22903,3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23 802,0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23 798,1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23 798,1</w:t>
            </w:r>
          </w:p>
        </w:tc>
      </w:tr>
      <w:tr w:rsidR="008126C2" w:rsidRPr="00024292" w:rsidTr="008126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26C2" w:rsidRPr="00024292" w:rsidRDefault="008126C2" w:rsidP="00852DD9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26C2" w:rsidRPr="00024292" w:rsidRDefault="008126C2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151,3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C2" w:rsidRPr="00024292" w:rsidRDefault="008126C2" w:rsidP="008126C2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250,7</w:t>
            </w:r>
          </w:p>
        </w:tc>
      </w:tr>
      <w:tr w:rsidR="000B47F5" w:rsidRPr="00024292" w:rsidTr="008126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47F5" w:rsidRPr="00024292" w:rsidRDefault="000B47F5" w:rsidP="000B47F5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F5" w:rsidRPr="00024292" w:rsidRDefault="000B47F5" w:rsidP="000B47F5">
            <w:pPr>
              <w:keepNext/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Расходы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47F5" w:rsidRPr="00024292" w:rsidRDefault="000B47F5" w:rsidP="000B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22162,9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B47F5" w:rsidRPr="00024292" w:rsidRDefault="000B47F5" w:rsidP="000B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23206,0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47F5" w:rsidRPr="00024292" w:rsidRDefault="000B47F5" w:rsidP="000B47F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24 000,7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7F5" w:rsidRPr="00024292" w:rsidRDefault="000B47F5" w:rsidP="000B47F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24 005,7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7F5" w:rsidRPr="00024292" w:rsidRDefault="000B47F5" w:rsidP="000B47F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24 048,8</w:t>
            </w:r>
          </w:p>
        </w:tc>
      </w:tr>
      <w:tr w:rsidR="00DC5FB6" w:rsidRPr="00024292" w:rsidTr="007B623D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852DD9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852D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DC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E54C8B" w:rsidP="004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967</w:t>
            </w:r>
            <w:r w:rsidR="004A7B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E36546" w:rsidP="00DC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632500"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632500" w:rsidP="00DC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10 382,3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632500" w:rsidP="00DC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10 182,3</w:t>
            </w:r>
          </w:p>
        </w:tc>
      </w:tr>
      <w:tr w:rsidR="00DC5FB6" w:rsidRPr="00024292" w:rsidTr="002E4D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DC5FB6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DC5F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DC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4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1353</w:t>
            </w:r>
            <w:r w:rsidR="004A7B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DC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632500"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DC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632500"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DC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632500"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566,5</w:t>
            </w:r>
          </w:p>
        </w:tc>
      </w:tr>
      <w:tr w:rsidR="00DC5FB6" w:rsidRPr="00024292" w:rsidTr="002E4D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E47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FB6" w:rsidRPr="00024292" w:rsidRDefault="00DC5FB6" w:rsidP="00E47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 программа  «</w:t>
            </w: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Устойчивое развитие  муниципального образования поселка Суломай»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4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1353</w:t>
            </w:r>
            <w:r w:rsidR="004A7B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13818,4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12973,4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12566,5</w:t>
            </w:r>
          </w:p>
        </w:tc>
      </w:tr>
      <w:tr w:rsidR="00DC5FB6" w:rsidRPr="00024292" w:rsidTr="002E4D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852DD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6E1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1.Муниципальная подпрограмма «</w:t>
            </w:r>
            <w:r w:rsidRPr="00024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поселка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Суломай»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DC5FB6" w:rsidRPr="00024292" w:rsidTr="002E4D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852DD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852D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2.Муниципальная подпрограмма 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Суломай»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11554,1</w:t>
            </w:r>
          </w:p>
        </w:tc>
      </w:tr>
      <w:tr w:rsidR="00DC5FB6" w:rsidRPr="00024292" w:rsidTr="002E4DC5">
        <w:trPr>
          <w:trHeight w:val="9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852DD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5FB6" w:rsidRPr="00024292" w:rsidRDefault="00DC5FB6" w:rsidP="00852D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3.Муниципальная подпрограмма  «Дорожная деятельность в отношении дорог местного значения поселка Суломай и обеспечение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143,2</w:t>
            </w:r>
          </w:p>
        </w:tc>
      </w:tr>
      <w:tr w:rsidR="00DC5FB6" w:rsidRPr="00024292" w:rsidTr="002E4DC5">
        <w:trPr>
          <w:trHeight w:val="1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852DD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852D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4.Муниципальная подпрограмма  «Организация благоустройства территории, создание среды комфортной для проживания жителей поселка Суломай»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FB6" w:rsidRPr="00024292" w:rsidRDefault="00DC5FB6" w:rsidP="0025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762,6</w:t>
            </w:r>
          </w:p>
        </w:tc>
      </w:tr>
      <w:tr w:rsidR="00AB3D74" w:rsidRPr="00024292" w:rsidTr="002E4D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74" w:rsidRPr="00024292" w:rsidRDefault="00AB3D74" w:rsidP="00852DD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lastRenderedPageBreak/>
              <w:t>4.6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74" w:rsidRPr="00024292" w:rsidRDefault="00AB3D74" w:rsidP="00852D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5.Муниципальная подпрограмма «Предупреждение, ликвидация последствий ЧС и обеспечение мер пожарной безопасности на территории поселка Суломай»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74" w:rsidRPr="00024292" w:rsidRDefault="00AB3D74" w:rsidP="000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74" w:rsidRPr="00024292" w:rsidRDefault="00AB3D74" w:rsidP="000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74" w:rsidRPr="00024292" w:rsidRDefault="00AB3D74" w:rsidP="000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74" w:rsidRPr="00024292" w:rsidRDefault="00AB3D74" w:rsidP="000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74" w:rsidRPr="00024292" w:rsidRDefault="00AB3D74" w:rsidP="000A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</w:tr>
      <w:tr w:rsidR="00E470E5" w:rsidRPr="00024292" w:rsidTr="002E4D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852DD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852D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6.Муниципальная подпрограмма  «Противодействие экстремизму и профилактика терроризма на территории поселка Суломай»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2,7</w:t>
            </w:r>
          </w:p>
        </w:tc>
      </w:tr>
      <w:tr w:rsidR="00E470E5" w:rsidRPr="00024292" w:rsidTr="002E4D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852DD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6E1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 Муниципальная подпрограмма  «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Профилактика правонарушений на территории поселка</w:t>
            </w:r>
            <w:r w:rsidRPr="0002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Суломай»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743A3A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E470E5"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E5" w:rsidRPr="00024292" w:rsidRDefault="00E470E5" w:rsidP="00E470E5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024292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  <w:t>1,0</w:t>
            </w:r>
          </w:p>
        </w:tc>
      </w:tr>
    </w:tbl>
    <w:p w:rsidR="002455EA" w:rsidRPr="00024292" w:rsidRDefault="002455EA" w:rsidP="002455EA">
      <w:pPr>
        <w:tabs>
          <w:tab w:val="left" w:pos="103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52DD9" w:rsidRPr="00024292" w:rsidRDefault="00852DD9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52DD9" w:rsidRPr="00024292" w:rsidRDefault="00852DD9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52DD9" w:rsidRPr="00024292" w:rsidRDefault="00852DD9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52DD9" w:rsidRPr="00024292" w:rsidRDefault="00852DD9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52DD9" w:rsidRPr="00024292" w:rsidRDefault="00852DD9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165EE" w:rsidRPr="00024292" w:rsidRDefault="008165EE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165EE" w:rsidRPr="00024292" w:rsidRDefault="008165EE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834CCC" w:rsidRPr="00024292" w:rsidRDefault="00834CCC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Пояснительная записка к прогнозу социально-экономического развития Муниципального образования поселка Суломай Эвенкийского муниципального района на 202</w:t>
      </w:r>
      <w:r w:rsidR="00625D71"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5</w:t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год и плановый период 202</w:t>
      </w:r>
      <w:r w:rsidR="00625D71"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6</w:t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-202</w:t>
      </w:r>
      <w:r w:rsidR="00625D71"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7</w:t>
      </w:r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proofErr w:type="gramStart"/>
      <w:r w:rsidRPr="00024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гг</w:t>
      </w:r>
      <w:proofErr w:type="spellEnd"/>
      <w:proofErr w:type="gramEnd"/>
    </w:p>
    <w:p w:rsidR="002455EA" w:rsidRPr="00024292" w:rsidRDefault="002455EA" w:rsidP="00245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2455EA" w:rsidRPr="00024292" w:rsidRDefault="002455EA" w:rsidP="00245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Поселок Суломай является в соответствии с Федеральным Законом от 06.10.2003г. №131 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Эвенкийского муниципального района Красноярского края.</w:t>
      </w:r>
    </w:p>
    <w:p w:rsidR="002455EA" w:rsidRPr="00024292" w:rsidRDefault="002455EA" w:rsidP="00245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 основании дифференцированного подхода к развитию сельских территорий, сформированного Распоряжением Правительства Российской Федерации от 02.02.2015г. №151-р  «О Стратегии  устойчивого развития  сельских территорий Российской Федерации на период до 2030 года», поселок Суломай  относится к четвертому типу - регионы со слабой очаговой освоенностью сельской местности и неблагоприятными природно-климатическими условиями ее развития. Четвертый тип охватывает малоосвоенные сельские территории со сложными природными условиями, мелкоочаговым развитием или традиционным хозяйством коренных народностей.</w:t>
      </w:r>
    </w:p>
    <w:p w:rsidR="002455EA" w:rsidRPr="00024292" w:rsidRDefault="002455EA" w:rsidP="00245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Границы территории сельского поселения установлены Законом Красноярского края от 6 октября 2011г. №13-6271 «Об установлении границ муниципального образования Эвенкийский муниципальный район и находящихся в его границах иных муниципальных образований».</w:t>
      </w:r>
    </w:p>
    <w:p w:rsidR="002455EA" w:rsidRPr="00024292" w:rsidRDefault="002455EA" w:rsidP="00245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Поселок Суломай занимает площадь 44,49 га.  Транспортная удаленность поселка Суломай от крупного аэропорта села Байкит составляет 365 км (воздушные линии). Пассажирские перевозки круглогодичного значения, ограничиваются только воздушным транспортом, вертолетами Ми-8 от села Байкит до поселка Суломай. Для основных грузоперевозок  транспортное сообщение носит сезонный характер, весной по реке Подкаменная Тунгуска  от города Красноярска до поселка Суломай. </w:t>
      </w:r>
    </w:p>
    <w:p w:rsidR="002455EA" w:rsidRPr="00024292" w:rsidRDefault="002455EA" w:rsidP="00245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Численность населения в муниципальном образовании по состоянию на 01.10.20</w:t>
      </w:r>
      <w:r w:rsidR="00A43F8F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625D71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составила </w:t>
      </w:r>
      <w:r w:rsidR="00625D71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221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человек</w:t>
      </w:r>
      <w:r w:rsidR="00DD7ED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2455EA" w:rsidRPr="00024292" w:rsidRDefault="002455EA" w:rsidP="00245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Организации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осуществляющие свою деятельность  на территории поселения: МКОУ 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Суломайская</w:t>
      </w:r>
      <w:proofErr w:type="spell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начальная школа – детский сад, 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Фап</w:t>
      </w:r>
      <w:proofErr w:type="spell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Сельский Дом культуры и библиотека, Отделение связи, Магазин Потребительского общества, Склад ГСМ  МП «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Эвенкиянефтепродукт</w:t>
      </w:r>
      <w:proofErr w:type="spell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», Производственный участок  МП  «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Байкитэнерго</w:t>
      </w:r>
      <w:proofErr w:type="spell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», 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Авиаплощадка</w:t>
      </w:r>
      <w:proofErr w:type="spell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п.Суломай, 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Гидропост</w:t>
      </w:r>
      <w:proofErr w:type="spell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ЦТиС</w:t>
      </w:r>
      <w:proofErr w:type="spell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Комплексный центр социального обслуживания, ФГУП «Почта России», КГБУ «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Байкитское</w:t>
      </w:r>
      <w:proofErr w:type="spell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лесничество», Индивидуальные предприниматели, Администрация поселка Суломай.</w:t>
      </w:r>
    </w:p>
    <w:p w:rsidR="002455EA" w:rsidRPr="00024292" w:rsidRDefault="002455EA" w:rsidP="00245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Основу  экономики  поселка Суломай составляют как отрасли традиционного северного комплекса: охотничий промысел, рыболовство, прикладное искусство,  так  и лесозаготовка и переработка древесины,  сельское  хозяйство (приусадебное хозяйство), все это служит важной базой   благосостояния населения.</w:t>
      </w:r>
    </w:p>
    <w:p w:rsidR="002455EA" w:rsidRPr="00024292" w:rsidRDefault="002455EA" w:rsidP="002455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Представительный орган поселка Суломай – Суломайский поселковый Совет депутатов. Глава муниципального образования является Председателем  поселкового Совета депутатов и Главой администрации. Исполнительно-распорядительный орган (</w:t>
      </w: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местная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Администрация) наделяется уставом муниципального образования полномочиями по решению вопросов местного значения, обладает правами юридического лица. Структура местной 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администрации утверждается представительным органом (поселковым Советом депутатов) по представлению Главы местной администрации.  </w:t>
      </w:r>
    </w:p>
    <w:p w:rsidR="003B1EDB" w:rsidRPr="00024292" w:rsidRDefault="003B1EDB" w:rsidP="003B1E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Прогноз основных </w:t>
      </w: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показателей развития муниципального сектора экономики муниципального образования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поселок </w:t>
      </w:r>
      <w:r w:rsidR="00DD7ED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Суломай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Эвенкийского муниципального района Красноярского края на 202</w:t>
      </w:r>
      <w:r w:rsidR="00474DF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 и плановый период 202</w:t>
      </w:r>
      <w:r w:rsidR="00474DF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–202</w:t>
      </w:r>
      <w:r w:rsidR="00474DF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годов разработан в соответствии с утвержденным перечнем показателей муниципального образования поселка </w:t>
      </w:r>
      <w:r w:rsidR="00DD7ED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Суломай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 </w:t>
      </w:r>
    </w:p>
    <w:p w:rsidR="003B1EDB" w:rsidRPr="00024292" w:rsidRDefault="003B1EDB" w:rsidP="003B1E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Прогноз основных показателей, базируется на отчетных 202</w:t>
      </w:r>
      <w:r w:rsidR="00474DF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B00549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года и ожидаемых по исполнению 202</w:t>
      </w:r>
      <w:r w:rsidR="00474DF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</w:t>
      </w:r>
      <w:r w:rsidR="00DD7ED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показателях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влияющих на социально-экономическое развитие поселка </w:t>
      </w:r>
      <w:r w:rsidR="00DD7ED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Суломай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3B1EDB" w:rsidRPr="00024292" w:rsidRDefault="003B1EDB" w:rsidP="003B1E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</w:t>
      </w: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условиях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сложившейся экономической ситуации акценты бюджетной политики   смещаются к среднесрочным задачам достижения целей развития муниципального образования.  </w:t>
      </w:r>
    </w:p>
    <w:p w:rsidR="003B1EDB" w:rsidRPr="00024292" w:rsidRDefault="003B1EDB" w:rsidP="003B1E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Целью бюджетной политики на 202</w:t>
      </w:r>
      <w:r w:rsidR="00474DF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 и плановый период 202</w:t>
      </w:r>
      <w:r w:rsidR="00474DF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–202</w:t>
      </w:r>
      <w:r w:rsidR="00474DF5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годов является обеспечение сбалансированного развития поселения в реализации ключевых задач:</w:t>
      </w:r>
    </w:p>
    <w:p w:rsidR="003B1EDB" w:rsidRPr="00024292" w:rsidRDefault="003B1EDB" w:rsidP="003B1ED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Совершенствование системы межбюджетных отношений; </w:t>
      </w:r>
    </w:p>
    <w:p w:rsidR="003B1EDB" w:rsidRPr="00024292" w:rsidRDefault="003B1EDB" w:rsidP="003B1EDB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Взаимодействие с вышестоящими органами власти по совершенствованию законодательства, оказывающего влияние на формирование местных бюджетов;</w:t>
      </w:r>
    </w:p>
    <w:p w:rsidR="003B1EDB" w:rsidRPr="00024292" w:rsidRDefault="003B1EDB" w:rsidP="003B1EDB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Поддержание обеспечения среднесрочной бюджетной устойчивости для внутреннего спроса направленных на достижение целей развития поселений;</w:t>
      </w:r>
    </w:p>
    <w:p w:rsidR="003B1EDB" w:rsidRPr="00024292" w:rsidRDefault="003B1EDB" w:rsidP="003B1ED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Реализации инициатив социально-экономического развития;</w:t>
      </w:r>
    </w:p>
    <w:p w:rsidR="003B1EDB" w:rsidRPr="00024292" w:rsidRDefault="003B1EDB" w:rsidP="003B1EDB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Повышение эффективности бюджетных расходов, вовлечение 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>в бюджетный процесс граждан.</w:t>
      </w:r>
    </w:p>
    <w:p w:rsidR="003B1EDB" w:rsidRPr="00024292" w:rsidRDefault="003B1EDB" w:rsidP="003B1E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Сегодня в качестве стратегического направления в поселке сохраняется </w:t>
      </w:r>
      <w:r w:rsidR="00395220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повышение качества транспортно-эксплуатационного состояния автомобильных дорог поселка, создание безопасных и комфортных условий функционирования объектов внешнего благоустройства  муниципальной собственности, обеспечение первичных мер пожарной безопасности в границах поселения, п</w:t>
      </w:r>
      <w:r w:rsidR="00342630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риобретение муниципальных жилых домов.</w:t>
      </w:r>
    </w:p>
    <w:p w:rsidR="003B1EDB" w:rsidRPr="00024292" w:rsidRDefault="003B1EDB" w:rsidP="003B1E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предстоящем бюджетном цикле будет продолжена реализация мероприятий   по повышению эффективности расходов местного бюджета.</w:t>
      </w:r>
      <w:proofErr w:type="gramEnd"/>
    </w:p>
    <w:p w:rsidR="003B1EDB" w:rsidRPr="00024292" w:rsidRDefault="003B1EDB" w:rsidP="003B1E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</w:t>
      </w: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рамках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реализации целей развития поселения продолжается совершенствование системы программного управления с учетом меняющихся внешних условий.</w:t>
      </w:r>
    </w:p>
    <w:p w:rsidR="003B1EDB" w:rsidRPr="00024292" w:rsidRDefault="003B1EDB" w:rsidP="003B1E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Для выполнения поставленных целей и задач бюджетной политики необходима координация стратегического и бюджетного планирования.</w:t>
      </w:r>
    </w:p>
    <w:p w:rsidR="003B1EDB" w:rsidRPr="00024292" w:rsidRDefault="003B1EDB" w:rsidP="003B1E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Практическую реализацию планов необходимо направить на усиление координации деятельности местных органов власти, ее ответственности за повышение уровня качества жизни населения.</w:t>
      </w:r>
    </w:p>
    <w:p w:rsidR="003B1EDB" w:rsidRPr="00024292" w:rsidRDefault="003B1EDB" w:rsidP="003B1ED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Согласно</w:t>
      </w:r>
      <w:proofErr w:type="gram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Федерального закона от 20.07.2020 № 236-ФЗ на законодательном уровне закреплен институт инициативного 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бюджетирования</w:t>
      </w:r>
      <w:proofErr w:type="spellEnd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созданы правовые основы для формирования инициативных проектов, имеющих приоритетное значение для жителей соответствующей территории. Органы местного самоуправления наделены полномочиями по установлению особенностей реализации проектов инициативного </w:t>
      </w:r>
      <w:proofErr w:type="spellStart"/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бюджетирования</w:t>
      </w:r>
      <w:proofErr w:type="spellEnd"/>
    </w:p>
    <w:p w:rsidR="002455EA" w:rsidRPr="00024292" w:rsidRDefault="003B1EDB" w:rsidP="003426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Для выработки стратегии в среднесрочном периоде муниципального образования поселка </w:t>
      </w:r>
      <w:r w:rsidR="00342630"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Суломай</w:t>
      </w:r>
      <w:r w:rsidRPr="00024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потребуется повышение надежности экономических прогнозов, стратегического планирования.</w:t>
      </w:r>
    </w:p>
    <w:p w:rsidR="003D49BF" w:rsidRPr="00024292" w:rsidRDefault="003D49BF">
      <w:pPr>
        <w:rPr>
          <w:color w:val="000000" w:themeColor="text1"/>
        </w:rPr>
      </w:pPr>
    </w:p>
    <w:sectPr w:rsidR="003D49BF" w:rsidRPr="00024292" w:rsidSect="00194186">
      <w:pgSz w:w="11906" w:h="16838"/>
      <w:pgMar w:top="284" w:right="851" w:bottom="567" w:left="1021" w:header="720" w:footer="70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01" w:rsidRDefault="001A2801">
      <w:pPr>
        <w:spacing w:after="0" w:line="240" w:lineRule="auto"/>
      </w:pPr>
      <w:r>
        <w:separator/>
      </w:r>
    </w:p>
  </w:endnote>
  <w:endnote w:type="continuationSeparator" w:id="0">
    <w:p w:rsidR="001A2801" w:rsidRDefault="001A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01" w:rsidRDefault="001A2801">
      <w:pPr>
        <w:spacing w:after="0" w:line="240" w:lineRule="auto"/>
      </w:pPr>
      <w:r>
        <w:separator/>
      </w:r>
    </w:p>
  </w:footnote>
  <w:footnote w:type="continuationSeparator" w:id="0">
    <w:p w:rsidR="001A2801" w:rsidRDefault="001A2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6"/>
    <w:multiLevelType w:val="singleLevel"/>
    <w:tmpl w:val="3EB8A51E"/>
    <w:lvl w:ilvl="0">
      <w:start w:val="65535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4FA6055"/>
    <w:multiLevelType w:val="hybridMultilevel"/>
    <w:tmpl w:val="E3D63CEC"/>
    <w:lvl w:ilvl="0" w:tplc="9FE8F1E8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93E181F"/>
    <w:multiLevelType w:val="hybridMultilevel"/>
    <w:tmpl w:val="30AEF3F8"/>
    <w:lvl w:ilvl="0" w:tplc="3EB8A5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55EA"/>
    <w:rsid w:val="00023459"/>
    <w:rsid w:val="00024292"/>
    <w:rsid w:val="0004214A"/>
    <w:rsid w:val="00053CB7"/>
    <w:rsid w:val="000540D9"/>
    <w:rsid w:val="00074AC0"/>
    <w:rsid w:val="00086082"/>
    <w:rsid w:val="000B47F5"/>
    <w:rsid w:val="000C1B80"/>
    <w:rsid w:val="000F61DB"/>
    <w:rsid w:val="00101364"/>
    <w:rsid w:val="001368F9"/>
    <w:rsid w:val="00194186"/>
    <w:rsid w:val="001A2801"/>
    <w:rsid w:val="001B55C8"/>
    <w:rsid w:val="002455EA"/>
    <w:rsid w:val="00257732"/>
    <w:rsid w:val="00260049"/>
    <w:rsid w:val="00261CB4"/>
    <w:rsid w:val="00267537"/>
    <w:rsid w:val="002767D1"/>
    <w:rsid w:val="002A68AE"/>
    <w:rsid w:val="002B5F44"/>
    <w:rsid w:val="002B6142"/>
    <w:rsid w:val="002E4DC5"/>
    <w:rsid w:val="00304970"/>
    <w:rsid w:val="00342630"/>
    <w:rsid w:val="00395220"/>
    <w:rsid w:val="003B1EDB"/>
    <w:rsid w:val="003D49BF"/>
    <w:rsid w:val="003E1C6E"/>
    <w:rsid w:val="0042380F"/>
    <w:rsid w:val="00445FF8"/>
    <w:rsid w:val="004521F7"/>
    <w:rsid w:val="00474DF5"/>
    <w:rsid w:val="004A435D"/>
    <w:rsid w:val="004A7B2C"/>
    <w:rsid w:val="004D4406"/>
    <w:rsid w:val="0052297C"/>
    <w:rsid w:val="005611FF"/>
    <w:rsid w:val="00572EC6"/>
    <w:rsid w:val="005823FF"/>
    <w:rsid w:val="0058339D"/>
    <w:rsid w:val="005B6586"/>
    <w:rsid w:val="00625D71"/>
    <w:rsid w:val="00632500"/>
    <w:rsid w:val="0063457F"/>
    <w:rsid w:val="00660608"/>
    <w:rsid w:val="006643A1"/>
    <w:rsid w:val="006A7044"/>
    <w:rsid w:val="006B1FAD"/>
    <w:rsid w:val="006B2CCF"/>
    <w:rsid w:val="006E027A"/>
    <w:rsid w:val="006E14AC"/>
    <w:rsid w:val="007206DB"/>
    <w:rsid w:val="00743A3A"/>
    <w:rsid w:val="00746B9B"/>
    <w:rsid w:val="0077207F"/>
    <w:rsid w:val="0077750A"/>
    <w:rsid w:val="0078499F"/>
    <w:rsid w:val="007874D2"/>
    <w:rsid w:val="007B623D"/>
    <w:rsid w:val="00804BC2"/>
    <w:rsid w:val="008126C2"/>
    <w:rsid w:val="008165EE"/>
    <w:rsid w:val="00834CCC"/>
    <w:rsid w:val="00852DD9"/>
    <w:rsid w:val="00854196"/>
    <w:rsid w:val="00854743"/>
    <w:rsid w:val="00854A3D"/>
    <w:rsid w:val="00871FA3"/>
    <w:rsid w:val="00876F2B"/>
    <w:rsid w:val="008B213F"/>
    <w:rsid w:val="009145C0"/>
    <w:rsid w:val="0092252B"/>
    <w:rsid w:val="00944016"/>
    <w:rsid w:val="009803C9"/>
    <w:rsid w:val="009804F5"/>
    <w:rsid w:val="009C3508"/>
    <w:rsid w:val="00A20FB5"/>
    <w:rsid w:val="00A43F8F"/>
    <w:rsid w:val="00A77E05"/>
    <w:rsid w:val="00A9123D"/>
    <w:rsid w:val="00A93CA7"/>
    <w:rsid w:val="00A97CA4"/>
    <w:rsid w:val="00AB3D74"/>
    <w:rsid w:val="00AC467E"/>
    <w:rsid w:val="00AD1796"/>
    <w:rsid w:val="00AE7B10"/>
    <w:rsid w:val="00AF1C63"/>
    <w:rsid w:val="00B00549"/>
    <w:rsid w:val="00B16FB5"/>
    <w:rsid w:val="00B22734"/>
    <w:rsid w:val="00B22C6D"/>
    <w:rsid w:val="00B7357E"/>
    <w:rsid w:val="00BD095F"/>
    <w:rsid w:val="00BD42D8"/>
    <w:rsid w:val="00BF4957"/>
    <w:rsid w:val="00C17FDC"/>
    <w:rsid w:val="00C35828"/>
    <w:rsid w:val="00CF72C3"/>
    <w:rsid w:val="00D35AEC"/>
    <w:rsid w:val="00D47A1B"/>
    <w:rsid w:val="00D707E4"/>
    <w:rsid w:val="00D756A9"/>
    <w:rsid w:val="00D770B2"/>
    <w:rsid w:val="00DC5FB6"/>
    <w:rsid w:val="00DD7ED5"/>
    <w:rsid w:val="00DE1DD1"/>
    <w:rsid w:val="00DF34FB"/>
    <w:rsid w:val="00E36546"/>
    <w:rsid w:val="00E470E5"/>
    <w:rsid w:val="00E54C8B"/>
    <w:rsid w:val="00E62D74"/>
    <w:rsid w:val="00E677BA"/>
    <w:rsid w:val="00E86F6B"/>
    <w:rsid w:val="00E91885"/>
    <w:rsid w:val="00EC47E9"/>
    <w:rsid w:val="00F02A2F"/>
    <w:rsid w:val="00F30E41"/>
    <w:rsid w:val="00F84546"/>
    <w:rsid w:val="00F9671C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0"/>
  </w:style>
  <w:style w:type="paragraph" w:styleId="1">
    <w:name w:val="heading 1"/>
    <w:basedOn w:val="a"/>
    <w:next w:val="a"/>
    <w:link w:val="10"/>
    <w:uiPriority w:val="9"/>
    <w:qFormat/>
    <w:rsid w:val="00245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55EA"/>
  </w:style>
  <w:style w:type="character" w:customStyle="1" w:styleId="WW8Num1z0">
    <w:name w:val="WW8Num1z0"/>
    <w:rsid w:val="002455EA"/>
  </w:style>
  <w:style w:type="character" w:styleId="a5">
    <w:name w:val="page number"/>
    <w:basedOn w:val="a0"/>
    <w:rsid w:val="002455EA"/>
  </w:style>
  <w:style w:type="paragraph" w:customStyle="1" w:styleId="1TimesNewRoman14pt">
    <w:name w:val="Стиль Заголовок 1 + Times New Roman 14 pt"/>
    <w:basedOn w:val="1"/>
    <w:rsid w:val="002455EA"/>
    <w:pPr>
      <w:keepLines w:val="0"/>
      <w:widowControl w:val="0"/>
      <w:suppressAutoHyphens/>
      <w:autoSpaceDE w:val="0"/>
      <w:spacing w:before="0" w:line="240" w:lineRule="auto"/>
      <w:jc w:val="center"/>
    </w:pPr>
    <w:rPr>
      <w:rFonts w:ascii="Times New Roman" w:eastAsia="Times New Roman" w:hAnsi="Times New Roman" w:cs="Arial"/>
      <w:b w:val="0"/>
      <w:color w:val="auto"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5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4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5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6F2B"/>
  </w:style>
  <w:style w:type="paragraph" w:styleId="aa">
    <w:name w:val="List Paragraph"/>
    <w:basedOn w:val="a"/>
    <w:uiPriority w:val="34"/>
    <w:qFormat/>
    <w:rsid w:val="003B1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E6AFB-40AE-4141-B4AF-77D48CC2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Admon</cp:lastModifiedBy>
  <cp:revision>74</cp:revision>
  <dcterms:created xsi:type="dcterms:W3CDTF">2020-11-07T11:34:00Z</dcterms:created>
  <dcterms:modified xsi:type="dcterms:W3CDTF">2024-11-20T09:41:00Z</dcterms:modified>
</cp:coreProperties>
</file>